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E" w:rsidRDefault="004106CE" w:rsidP="004106CE">
      <w:pPr>
        <w:jc w:val="both"/>
        <w:rPr>
          <w:color w:val="1F497D" w:themeColor="text2"/>
          <w:sz w:val="28"/>
        </w:rPr>
      </w:pPr>
      <w:r>
        <w:rPr>
          <w:color w:val="1F497D" w:themeColor="text2"/>
          <w:sz w:val="28"/>
        </w:rPr>
        <w:t xml:space="preserve">Classe 3M                     Materia  GESTIONE DEL CANTIERE E SICUREZZA  </w:t>
      </w:r>
      <w:r w:rsidR="00F61DF6">
        <w:rPr>
          <w:color w:val="1F497D" w:themeColor="text2"/>
          <w:sz w:val="28"/>
        </w:rPr>
        <w:t xml:space="preserve">            Anno scolastico 2013/2014</w:t>
      </w:r>
    </w:p>
    <w:p w:rsidR="004106CE" w:rsidRDefault="004106CE" w:rsidP="004106CE">
      <w:pPr>
        <w:jc w:val="center"/>
        <w:rPr>
          <w:color w:val="1F497D" w:themeColor="text2"/>
          <w:sz w:val="28"/>
        </w:rPr>
      </w:pPr>
    </w:p>
    <w:p w:rsidR="004106CE" w:rsidRDefault="004106CE" w:rsidP="004106CE">
      <w:pPr>
        <w:rPr>
          <w:color w:val="1F497D" w:themeColor="text2"/>
          <w:sz w:val="28"/>
        </w:rPr>
      </w:pPr>
      <w:r>
        <w:rPr>
          <w:color w:val="1F497D" w:themeColor="text2"/>
          <w:sz w:val="28"/>
        </w:rPr>
        <w:t xml:space="preserve">Professor. </w:t>
      </w:r>
      <w:r>
        <w:rPr>
          <w:color w:val="1F497D" w:themeColor="text2"/>
          <w:sz w:val="2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0" w:name="Testo4"/>
      <w:r>
        <w:rPr>
          <w:color w:val="1F497D" w:themeColor="text2"/>
          <w:sz w:val="28"/>
        </w:rPr>
        <w:instrText xml:space="preserve"> FORMTEXT </w:instrText>
      </w:r>
      <w:r>
        <w:rPr>
          <w:color w:val="1F497D" w:themeColor="text2"/>
          <w:sz w:val="28"/>
        </w:rPr>
      </w:r>
      <w:r>
        <w:rPr>
          <w:color w:val="1F497D" w:themeColor="text2"/>
          <w:sz w:val="28"/>
        </w:rPr>
        <w:fldChar w:fldCharType="separate"/>
      </w:r>
      <w:r>
        <w:rPr>
          <w:color w:val="1F497D" w:themeColor="text2"/>
          <w:sz w:val="28"/>
        </w:rPr>
        <w:t>CECILIA  PRANDI</w:t>
      </w:r>
      <w:r>
        <w:fldChar w:fldCharType="end"/>
      </w:r>
      <w:bookmarkEnd w:id="0"/>
    </w:p>
    <w:p w:rsidR="004106CE" w:rsidRDefault="004106CE" w:rsidP="004106CE">
      <w:pPr>
        <w:rPr>
          <w:color w:val="1F497D" w:themeColor="text2"/>
          <w:sz w:val="28"/>
        </w:rPr>
      </w:pPr>
    </w:p>
    <w:p w:rsidR="004106CE" w:rsidRDefault="004106CE" w:rsidP="004106CE">
      <w:pPr>
        <w:pStyle w:val="Titolo1"/>
        <w:rPr>
          <w:color w:val="1F497D" w:themeColor="text2"/>
        </w:rPr>
      </w:pPr>
      <w:r>
        <w:rPr>
          <w:color w:val="1F497D" w:themeColor="text2"/>
        </w:rPr>
        <w:t>PROGRAMMA SVOLTO</w:t>
      </w:r>
    </w:p>
    <w:p w:rsidR="004106CE" w:rsidRDefault="004106CE" w:rsidP="004106CE">
      <w:pPr>
        <w:jc w:val="center"/>
        <w:rPr>
          <w:b/>
          <w:color w:val="1F497D" w:themeColor="text2"/>
          <w:sz w:val="32"/>
        </w:rPr>
      </w:pPr>
    </w:p>
    <w:p w:rsidR="004106CE" w:rsidRDefault="004106CE" w:rsidP="004106CE">
      <w:pPr>
        <w:rPr>
          <w:color w:val="1F497D" w:themeColor="text2"/>
          <w:sz w:val="28"/>
        </w:rPr>
      </w:pPr>
      <w:r>
        <w:rPr>
          <w:color w:val="1F497D" w:themeColor="text2"/>
          <w:sz w:val="28"/>
        </w:rPr>
        <w:t xml:space="preserve"> ARGOMENTI SVOLTI.</w:t>
      </w:r>
    </w:p>
    <w:p w:rsidR="004106CE" w:rsidRDefault="004106CE" w:rsidP="00484082">
      <w:pPr>
        <w:jc w:val="both"/>
        <w:rPr>
          <w:color w:val="1F497D" w:themeColor="text2"/>
          <w:sz w:val="28"/>
          <w:u w:val="single"/>
        </w:rPr>
      </w:pPr>
      <w:r>
        <w:rPr>
          <w:color w:val="1F497D" w:themeColor="text2"/>
          <w:sz w:val="28"/>
          <w:u w:val="single"/>
        </w:rPr>
        <w:t>La valutazione del rischio</w:t>
      </w:r>
    </w:p>
    <w:p w:rsidR="004106CE" w:rsidRDefault="004106CE" w:rsidP="00484082">
      <w:pPr>
        <w:jc w:val="both"/>
        <w:rPr>
          <w:color w:val="1F497D" w:themeColor="text2"/>
          <w:sz w:val="28"/>
        </w:rPr>
      </w:pPr>
      <w:r>
        <w:rPr>
          <w:color w:val="1F497D" w:themeColor="text2"/>
          <w:sz w:val="28"/>
        </w:rPr>
        <w:t>Pericolo e rischio. L’analisi del rischio. La valutazione e la classificazione del rischio. La stima del rischio. Misure di prevenzione e protezione. La sorveglianza sanitaria. Formazione, informazione e addestramento dei lavoratori.</w:t>
      </w:r>
    </w:p>
    <w:p w:rsidR="004106CE" w:rsidRDefault="004106CE" w:rsidP="00484082">
      <w:pPr>
        <w:jc w:val="both"/>
        <w:rPr>
          <w:color w:val="1F497D" w:themeColor="text2"/>
          <w:sz w:val="28"/>
          <w:u w:val="single"/>
        </w:rPr>
      </w:pPr>
      <w:r>
        <w:rPr>
          <w:color w:val="1F497D" w:themeColor="text2"/>
          <w:sz w:val="28"/>
          <w:u w:val="single"/>
        </w:rPr>
        <w:t>Microclima</w:t>
      </w:r>
    </w:p>
    <w:p w:rsidR="004106CE" w:rsidRDefault="004106CE" w:rsidP="00484082">
      <w:pPr>
        <w:jc w:val="both"/>
        <w:rPr>
          <w:color w:val="1F497D" w:themeColor="text2"/>
          <w:sz w:val="28"/>
        </w:rPr>
      </w:pPr>
      <w:r>
        <w:rPr>
          <w:color w:val="1F497D" w:themeColor="text2"/>
          <w:sz w:val="28"/>
        </w:rPr>
        <w:t>Microclima e benessere. Tipologie di ambienti termici. Gli ambienti severi: severi caldi e freddi. Gli ambienti severi nei cantieri . misure di prevenzione e protezione.</w:t>
      </w:r>
    </w:p>
    <w:p w:rsidR="004106CE" w:rsidRDefault="004106CE" w:rsidP="00484082">
      <w:pPr>
        <w:jc w:val="both"/>
        <w:rPr>
          <w:color w:val="1F497D" w:themeColor="text2"/>
          <w:sz w:val="28"/>
          <w:u w:val="single"/>
        </w:rPr>
      </w:pPr>
      <w:r>
        <w:rPr>
          <w:color w:val="1F497D" w:themeColor="text2"/>
          <w:sz w:val="28"/>
          <w:u w:val="single"/>
        </w:rPr>
        <w:t>Movimentazione manuale dei carichi (MMC)</w:t>
      </w:r>
    </w:p>
    <w:p w:rsidR="004106CE" w:rsidRDefault="004106CE" w:rsidP="00484082">
      <w:pPr>
        <w:jc w:val="both"/>
        <w:rPr>
          <w:color w:val="1F497D" w:themeColor="text2"/>
          <w:sz w:val="28"/>
        </w:rPr>
      </w:pPr>
      <w:r>
        <w:rPr>
          <w:color w:val="1F497D" w:themeColor="text2"/>
          <w:sz w:val="28"/>
        </w:rPr>
        <w:t>Riferimenti normativi, i disturbi indotti dalla MMC. Obblighi del datore di lavoro e valutazione del rischio. Il metodo NIOSH.  Il rischio di sovraccarico per il corpo umano</w:t>
      </w:r>
      <w:r w:rsidR="00484082">
        <w:rPr>
          <w:color w:val="1F497D" w:themeColor="text2"/>
          <w:sz w:val="28"/>
        </w:rPr>
        <w:t>. Le attività di prevenzione.</w:t>
      </w:r>
    </w:p>
    <w:p w:rsidR="00484082" w:rsidRDefault="00484082" w:rsidP="00484082">
      <w:pPr>
        <w:jc w:val="both"/>
        <w:rPr>
          <w:color w:val="1F497D" w:themeColor="text2"/>
          <w:sz w:val="28"/>
          <w:u w:val="single"/>
        </w:rPr>
      </w:pPr>
      <w:r>
        <w:rPr>
          <w:color w:val="1F497D" w:themeColor="text2"/>
          <w:sz w:val="28"/>
          <w:u w:val="single"/>
        </w:rPr>
        <w:t>Il rumore</w:t>
      </w:r>
    </w:p>
    <w:p w:rsidR="00484082" w:rsidRDefault="00484082" w:rsidP="00484082">
      <w:pPr>
        <w:jc w:val="both"/>
        <w:rPr>
          <w:color w:val="1F497D" w:themeColor="text2"/>
          <w:sz w:val="28"/>
        </w:rPr>
      </w:pPr>
      <w:r>
        <w:rPr>
          <w:color w:val="1F497D" w:themeColor="text2"/>
          <w:sz w:val="28"/>
        </w:rPr>
        <w:t>La misura del suono, il rumore ambientale, gli strumenti di misura del rumore. Le malattie correlate all’apparato uditivo. La valutazione del rischio rumore. Obblighi del datore di lavoro. I DPI per il rumore.</w:t>
      </w:r>
    </w:p>
    <w:p w:rsidR="00484082" w:rsidRDefault="00484082" w:rsidP="00484082">
      <w:pPr>
        <w:jc w:val="both"/>
        <w:rPr>
          <w:color w:val="1F497D" w:themeColor="text2"/>
          <w:sz w:val="28"/>
          <w:u w:val="single"/>
        </w:rPr>
      </w:pPr>
      <w:r>
        <w:rPr>
          <w:color w:val="1F497D" w:themeColor="text2"/>
          <w:sz w:val="28"/>
          <w:u w:val="single"/>
        </w:rPr>
        <w:t>Le vibrazioni</w:t>
      </w:r>
    </w:p>
    <w:p w:rsidR="00484082" w:rsidRDefault="00484082" w:rsidP="00484082">
      <w:pPr>
        <w:jc w:val="both"/>
        <w:rPr>
          <w:color w:val="1F497D" w:themeColor="text2"/>
          <w:sz w:val="28"/>
        </w:rPr>
      </w:pPr>
      <w:r>
        <w:rPr>
          <w:color w:val="1F497D" w:themeColor="text2"/>
          <w:sz w:val="28"/>
        </w:rPr>
        <w:t>Il rischio vibrazioni e le malattie correlate. La normativa di riferimento. La valutazione del rischio vibrazioni. Obblighi del datore di lavoro e i DPI antivibrazione.</w:t>
      </w:r>
    </w:p>
    <w:p w:rsidR="00484082" w:rsidRDefault="00484082" w:rsidP="00484082">
      <w:pPr>
        <w:jc w:val="both"/>
        <w:rPr>
          <w:color w:val="1F497D" w:themeColor="text2"/>
          <w:sz w:val="28"/>
          <w:u w:val="single"/>
        </w:rPr>
      </w:pPr>
      <w:r>
        <w:rPr>
          <w:color w:val="1F497D" w:themeColor="text2"/>
          <w:sz w:val="28"/>
          <w:u w:val="single"/>
        </w:rPr>
        <w:t>Il rischio chimico</w:t>
      </w:r>
    </w:p>
    <w:p w:rsidR="00484082" w:rsidRDefault="00484082" w:rsidP="00484082">
      <w:pPr>
        <w:jc w:val="both"/>
        <w:rPr>
          <w:color w:val="1F497D" w:themeColor="text2"/>
          <w:sz w:val="28"/>
        </w:rPr>
      </w:pPr>
      <w:r>
        <w:rPr>
          <w:color w:val="1F497D" w:themeColor="text2"/>
          <w:sz w:val="28"/>
        </w:rPr>
        <w:t>il rischio chimico e la normativa di riferimento. Sostanze e preparati utilizzati in edilizia. Assorbimento degli agenti chimici e loro classificazione. Le etichette, le frasi di rischio e di prudenza. Scheda di sicurezza. Valutazione del rischio chimico.  Rischio da inalazione, da contatto cutaneo.</w:t>
      </w:r>
    </w:p>
    <w:p w:rsidR="00F61DF6" w:rsidRDefault="00F61DF6" w:rsidP="00484082">
      <w:pPr>
        <w:jc w:val="both"/>
        <w:rPr>
          <w:color w:val="1F497D" w:themeColor="text2"/>
          <w:sz w:val="28"/>
          <w:u w:val="single"/>
        </w:rPr>
      </w:pPr>
      <w:r w:rsidRPr="00F61DF6">
        <w:rPr>
          <w:color w:val="1F497D" w:themeColor="text2"/>
          <w:sz w:val="28"/>
          <w:u w:val="single"/>
        </w:rPr>
        <w:t>Il rischio cancerogeno</w:t>
      </w:r>
    </w:p>
    <w:p w:rsidR="00F61DF6" w:rsidRPr="00F61DF6" w:rsidRDefault="00DD7EC9" w:rsidP="00484082">
      <w:pPr>
        <w:jc w:val="both"/>
        <w:rPr>
          <w:color w:val="1F497D" w:themeColor="text2"/>
          <w:sz w:val="28"/>
        </w:rPr>
      </w:pPr>
      <w:r>
        <w:rPr>
          <w:color w:val="1F497D" w:themeColor="text2"/>
          <w:sz w:val="28"/>
        </w:rPr>
        <w:t>Il rischio cancerogeno e mutageno e la normativa di riferimento. Classificazione egli agenti cancerogeni o mutageni. Valutazione del rischi cancerogeno. L’amianto: le malattie professionali provocate dall’amianto, misure di prevenzione e protezione e misure igieniche, tecniche di bonifica, i DPI dal rischio amianto.</w:t>
      </w:r>
    </w:p>
    <w:p w:rsidR="004106CE" w:rsidRPr="004106CE" w:rsidRDefault="004106CE" w:rsidP="004106CE">
      <w:pPr>
        <w:rPr>
          <w:color w:val="1F497D" w:themeColor="text2"/>
          <w:sz w:val="28"/>
          <w:u w:val="single"/>
        </w:rPr>
      </w:pPr>
    </w:p>
    <w:p w:rsidR="004106CE" w:rsidRDefault="004106CE" w:rsidP="004106CE">
      <w:pPr>
        <w:rPr>
          <w:color w:val="1F497D" w:themeColor="text2"/>
          <w:sz w:val="28"/>
        </w:rPr>
      </w:pPr>
      <w:r>
        <w:rPr>
          <w:color w:val="1F497D" w:themeColor="text2"/>
          <w:sz w:val="28"/>
        </w:rPr>
        <w:t>EVENTUALI  OSSERVAZIONI</w:t>
      </w:r>
    </w:p>
    <w:p w:rsidR="004515AA" w:rsidRDefault="004515AA" w:rsidP="004106CE">
      <w:pPr>
        <w:rPr>
          <w:color w:val="1F497D" w:themeColor="text2"/>
          <w:sz w:val="28"/>
        </w:rPr>
      </w:pPr>
    </w:p>
    <w:p w:rsidR="004515AA" w:rsidRDefault="004515AA" w:rsidP="004106CE">
      <w:pPr>
        <w:rPr>
          <w:color w:val="1F497D" w:themeColor="text2"/>
          <w:sz w:val="28"/>
        </w:rPr>
      </w:pPr>
      <w:bookmarkStart w:id="1" w:name="_GoBack"/>
      <w:bookmarkEnd w:id="1"/>
    </w:p>
    <w:p w:rsidR="004106CE" w:rsidRDefault="004106CE" w:rsidP="004106CE">
      <w:pPr>
        <w:rPr>
          <w:sz w:val="28"/>
        </w:rPr>
      </w:pPr>
      <w:r>
        <w:rPr>
          <w:color w:val="1F497D" w:themeColor="text2"/>
          <w:sz w:val="28"/>
        </w:rPr>
        <w:t xml:space="preserve">Data </w:t>
      </w:r>
      <w:r w:rsidR="00F61DF6">
        <w:rPr>
          <w:color w:val="1F497D" w:themeColor="text2"/>
          <w:sz w:val="24"/>
          <w:szCs w:val="24"/>
        </w:rPr>
        <w:t xml:space="preserve"> Giugno 2014</w:t>
      </w:r>
      <w:r>
        <w:rPr>
          <w:color w:val="1F497D" w:themeColor="text2"/>
          <w:sz w:val="28"/>
        </w:rPr>
        <w:t xml:space="preserve">                                                                        Firma Cecilia Prandi            </w:t>
      </w:r>
      <w:r>
        <w:rPr>
          <w:sz w:val="28"/>
        </w:rPr>
        <w:t xml:space="preserve">    </w:t>
      </w:r>
    </w:p>
    <w:p w:rsidR="00CA591D" w:rsidRDefault="00CA591D"/>
    <w:sectPr w:rsidR="00CA5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C0"/>
    <w:rsid w:val="004106CE"/>
    <w:rsid w:val="004515AA"/>
    <w:rsid w:val="00484082"/>
    <w:rsid w:val="009B7AC0"/>
    <w:rsid w:val="00CA591D"/>
    <w:rsid w:val="00DD7EC9"/>
    <w:rsid w:val="00F6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06CE"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06CE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06CE"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06CE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5</cp:revision>
  <dcterms:created xsi:type="dcterms:W3CDTF">2013-06-06T20:55:00Z</dcterms:created>
  <dcterms:modified xsi:type="dcterms:W3CDTF">2014-06-06T05:34:00Z</dcterms:modified>
</cp:coreProperties>
</file>